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D8D9" w14:textId="77777777" w:rsidR="00FC526E" w:rsidRPr="00C41B59" w:rsidRDefault="00FC526E" w:rsidP="00FC526E">
      <w:pPr>
        <w:tabs>
          <w:tab w:val="right" w:pos="9639"/>
        </w:tabs>
        <w:ind w:right="-1"/>
        <w:rPr>
          <w:rFonts w:cs="Arial"/>
          <w:b/>
          <w:sz w:val="24"/>
          <w:szCs w:val="24"/>
        </w:rPr>
      </w:pPr>
      <w:r w:rsidRPr="00C41B59">
        <w:rPr>
          <w:rFonts w:cs="Arial"/>
          <w:b/>
          <w:sz w:val="24"/>
          <w:szCs w:val="24"/>
        </w:rPr>
        <w:t>D</w:t>
      </w:r>
      <w:r w:rsidR="007410BC">
        <w:rPr>
          <w:rFonts w:cs="Arial"/>
          <w:b/>
          <w:sz w:val="24"/>
          <w:szCs w:val="24"/>
        </w:rPr>
        <w:t>r. Ralf Pohl</w:t>
      </w:r>
      <w:r w:rsidR="007410BC">
        <w:rPr>
          <w:rFonts w:cs="Arial"/>
          <w:b/>
          <w:sz w:val="24"/>
          <w:szCs w:val="24"/>
        </w:rPr>
        <w:tab/>
        <w:t>Wintersemester 2026/27</w:t>
      </w:r>
    </w:p>
    <w:p w14:paraId="1971DBFE" w14:textId="77777777" w:rsidR="00FC526E" w:rsidRPr="00C41B59" w:rsidRDefault="00FC526E" w:rsidP="00FC526E">
      <w:pPr>
        <w:tabs>
          <w:tab w:val="right" w:pos="9639"/>
        </w:tabs>
        <w:ind w:right="-1"/>
        <w:rPr>
          <w:rFonts w:cs="Arial"/>
          <w:sz w:val="24"/>
          <w:szCs w:val="24"/>
        </w:rPr>
      </w:pPr>
      <w:r w:rsidRPr="00C41B59">
        <w:rPr>
          <w:rFonts w:cs="Arial"/>
          <w:sz w:val="24"/>
          <w:szCs w:val="24"/>
        </w:rPr>
        <w:tab/>
      </w:r>
    </w:p>
    <w:p w14:paraId="40116D20" w14:textId="77777777" w:rsidR="00FC526E" w:rsidRPr="00C41B59" w:rsidRDefault="00FC526E" w:rsidP="00FC526E">
      <w:pPr>
        <w:pStyle w:val="berschrift6"/>
        <w:rPr>
          <w:rFonts w:asciiTheme="minorHAnsi" w:hAnsiTheme="minorHAnsi" w:cs="Arial"/>
          <w:sz w:val="24"/>
          <w:szCs w:val="24"/>
        </w:rPr>
      </w:pPr>
      <w:r w:rsidRPr="00C41B59">
        <w:rPr>
          <w:rFonts w:asciiTheme="minorHAnsi" w:hAnsiTheme="minorHAnsi" w:cs="Arial"/>
          <w:sz w:val="24"/>
          <w:szCs w:val="24"/>
        </w:rPr>
        <w:t>Volkswirtschaftliches (Pro-) Seminar:</w:t>
      </w:r>
    </w:p>
    <w:p w14:paraId="779433E5" w14:textId="77777777" w:rsidR="00FC526E" w:rsidRPr="00C41B59" w:rsidRDefault="00FC526E" w:rsidP="00FC526E">
      <w:pPr>
        <w:rPr>
          <w:sz w:val="24"/>
          <w:szCs w:val="24"/>
          <w:lang w:eastAsia="de-DE"/>
        </w:rPr>
      </w:pPr>
    </w:p>
    <w:p w14:paraId="0B97DF24" w14:textId="77777777" w:rsidR="00FC526E" w:rsidRPr="00C41B59" w:rsidRDefault="00FC526E" w:rsidP="00FC526E">
      <w:pPr>
        <w:jc w:val="center"/>
        <w:rPr>
          <w:rFonts w:cs="Arial"/>
          <w:b/>
          <w:sz w:val="24"/>
          <w:szCs w:val="24"/>
          <w:lang w:eastAsia="de-DE"/>
        </w:rPr>
      </w:pPr>
      <w:r w:rsidRPr="00C41B59">
        <w:rPr>
          <w:rFonts w:cs="Arial"/>
          <w:b/>
          <w:sz w:val="24"/>
          <w:szCs w:val="24"/>
          <w:lang w:eastAsia="de-DE"/>
        </w:rPr>
        <w:t>Europäische Union</w:t>
      </w:r>
    </w:p>
    <w:p w14:paraId="5C5820CC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</w:p>
    <w:p w14:paraId="3BEF1F35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Zulassungsvoraussetzungen:</w:t>
      </w:r>
    </w:p>
    <w:p w14:paraId="5F8CF9B6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Teilnahme am Proseminar setzt die </w:t>
      </w:r>
      <w:r w:rsidRPr="00C41B59">
        <w:rPr>
          <w:rFonts w:asciiTheme="minorHAnsi" w:hAnsiTheme="minorHAnsi" w:cs="Arial"/>
          <w:b/>
          <w:szCs w:val="24"/>
        </w:rPr>
        <w:t>bestandenen Module „Mikroökonomie“</w:t>
      </w:r>
      <w:r w:rsidRPr="00C41B59">
        <w:rPr>
          <w:rFonts w:asciiTheme="minorHAnsi" w:hAnsiTheme="minorHAnsi" w:cs="Arial"/>
          <w:szCs w:val="24"/>
        </w:rPr>
        <w:t xml:space="preserve"> (nicht LAR) und „</w:t>
      </w:r>
      <w:r w:rsidRPr="00C41B59">
        <w:rPr>
          <w:rFonts w:asciiTheme="minorHAnsi" w:hAnsiTheme="minorHAnsi" w:cs="Arial"/>
          <w:b/>
          <w:szCs w:val="24"/>
        </w:rPr>
        <w:t>Makroökonomie“</w:t>
      </w:r>
      <w:r w:rsidRPr="00C41B59">
        <w:rPr>
          <w:rFonts w:asciiTheme="minorHAnsi" w:hAnsiTheme="minorHAnsi" w:cs="Arial"/>
          <w:szCs w:val="24"/>
        </w:rPr>
        <w:t xml:space="preserve"> voraus.</w:t>
      </w:r>
    </w:p>
    <w:p w14:paraId="3E54A391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</w:rPr>
        <w:t xml:space="preserve">Alle vorausgesetzten Leistungen müssen </w:t>
      </w:r>
      <w:r w:rsidRPr="00C41B59">
        <w:rPr>
          <w:rFonts w:asciiTheme="minorHAnsi" w:hAnsiTheme="minorHAnsi" w:cs="Arial"/>
          <w:b/>
          <w:szCs w:val="24"/>
        </w:rPr>
        <w:t xml:space="preserve">bis zum Beginn der Anmeldephase auf StudOn </w:t>
      </w:r>
      <w:r w:rsidRPr="00C41B59">
        <w:rPr>
          <w:rFonts w:asciiTheme="minorHAnsi" w:hAnsiTheme="minorHAnsi" w:cs="Arial"/>
          <w:szCs w:val="24"/>
        </w:rPr>
        <w:t xml:space="preserve">erbracht sein. </w:t>
      </w:r>
      <w:r w:rsidRPr="00C41B59">
        <w:rPr>
          <w:rFonts w:asciiTheme="minorHAnsi" w:hAnsiTheme="minorHAnsi" w:cs="Arial"/>
          <w:b/>
          <w:szCs w:val="24"/>
        </w:rPr>
        <w:t>Ein Nachreichen ist nicht möglich</w:t>
      </w:r>
      <w:r w:rsidRPr="00C41B59">
        <w:rPr>
          <w:rFonts w:asciiTheme="minorHAnsi" w:hAnsiTheme="minorHAnsi" w:cs="Arial"/>
          <w:szCs w:val="24"/>
        </w:rPr>
        <w:t>.</w:t>
      </w:r>
    </w:p>
    <w:p w14:paraId="5013D375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</w:p>
    <w:p w14:paraId="23A40AEB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Anmeldung:</w:t>
      </w:r>
    </w:p>
    <w:p w14:paraId="6743A3EC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Anmeldung zum Proseminar erfolgt ab </w:t>
      </w:r>
      <w:r w:rsidR="00780403">
        <w:rPr>
          <w:rFonts w:asciiTheme="minorHAnsi" w:hAnsiTheme="minorHAnsi" w:cs="Arial"/>
          <w:b/>
          <w:szCs w:val="24"/>
        </w:rPr>
        <w:t>Montag, 07</w:t>
      </w:r>
      <w:r>
        <w:rPr>
          <w:rFonts w:asciiTheme="minorHAnsi" w:hAnsiTheme="minorHAnsi" w:cs="Arial"/>
          <w:b/>
          <w:szCs w:val="24"/>
        </w:rPr>
        <w:t>.09</w:t>
      </w:r>
      <w:r w:rsidR="00780403">
        <w:rPr>
          <w:rFonts w:asciiTheme="minorHAnsi" w:hAnsiTheme="minorHAnsi" w:cs="Arial"/>
          <w:b/>
          <w:szCs w:val="24"/>
        </w:rPr>
        <w:t>.2026, 20:00 Uhr bis Freitag, 25.09.2026</w:t>
      </w:r>
      <w:r w:rsidRPr="00C41B59">
        <w:rPr>
          <w:rFonts w:asciiTheme="minorHAnsi" w:hAnsiTheme="minorHAnsi" w:cs="Arial"/>
          <w:b/>
          <w:szCs w:val="24"/>
        </w:rPr>
        <w:t>, 20:00 Uhr</w:t>
      </w:r>
      <w:r w:rsidRPr="00C41B59">
        <w:rPr>
          <w:rFonts w:asciiTheme="minorHAnsi" w:hAnsiTheme="minorHAnsi" w:cs="Arial"/>
          <w:szCs w:val="24"/>
        </w:rPr>
        <w:t xml:space="preserve"> </w:t>
      </w:r>
      <w:r w:rsidRPr="00C41B59">
        <w:rPr>
          <w:rFonts w:asciiTheme="minorHAnsi" w:hAnsiTheme="minorHAnsi" w:cs="Arial"/>
          <w:b/>
          <w:szCs w:val="24"/>
        </w:rPr>
        <w:t>über StudOn</w:t>
      </w:r>
      <w:r w:rsidRPr="00C41B59">
        <w:rPr>
          <w:rFonts w:asciiTheme="minorHAnsi" w:hAnsiTheme="minorHAnsi" w:cs="Arial"/>
          <w:szCs w:val="24"/>
        </w:rPr>
        <w:t xml:space="preserve">. </w:t>
      </w:r>
    </w:p>
    <w:p w14:paraId="28F48AAC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b/>
          <w:szCs w:val="24"/>
        </w:rPr>
        <w:t xml:space="preserve">Die Anmeldung wird erst </w:t>
      </w:r>
      <w:r w:rsidR="007410BC">
        <w:rPr>
          <w:rFonts w:asciiTheme="minorHAnsi" w:hAnsiTheme="minorHAnsi" w:cs="Arial"/>
          <w:b/>
          <w:szCs w:val="24"/>
        </w:rPr>
        <w:t xml:space="preserve">mit der Übernahme eines Themas </w:t>
      </w:r>
      <w:r w:rsidRPr="00C41B59">
        <w:rPr>
          <w:rFonts w:asciiTheme="minorHAnsi" w:hAnsiTheme="minorHAnsi" w:cs="Arial"/>
          <w:b/>
          <w:szCs w:val="24"/>
        </w:rPr>
        <w:t>endgültig</w:t>
      </w:r>
      <w:r w:rsidRPr="00C41B59">
        <w:rPr>
          <w:rFonts w:asciiTheme="minorHAnsi" w:hAnsiTheme="minorHAnsi" w:cs="Arial"/>
          <w:szCs w:val="24"/>
        </w:rPr>
        <w:t xml:space="preserve">. Ohne Anmeldung ist eine Teilnahme am Proseminar nicht möglich! </w:t>
      </w:r>
    </w:p>
    <w:p w14:paraId="4878BE94" w14:textId="77777777" w:rsidR="00FC526E" w:rsidRPr="00C41B59" w:rsidRDefault="00FC526E" w:rsidP="00FC526E">
      <w:pPr>
        <w:pStyle w:val="Textkrper2"/>
        <w:rPr>
          <w:rFonts w:asciiTheme="minorHAnsi" w:hAnsiTheme="minorHAnsi" w:cs="Arial"/>
          <w:b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Bitte beachten Sie, dass Sie nur an </w:t>
      </w:r>
      <w:r w:rsidRPr="00C41B59">
        <w:rPr>
          <w:rFonts w:asciiTheme="minorHAnsi" w:hAnsiTheme="minorHAnsi" w:cs="Arial"/>
          <w:b/>
          <w:szCs w:val="24"/>
        </w:rPr>
        <w:t>einem</w:t>
      </w:r>
      <w:r w:rsidRPr="00C41B59">
        <w:rPr>
          <w:rFonts w:asciiTheme="minorHAnsi" w:hAnsiTheme="minorHAnsi" w:cs="Arial"/>
          <w:szCs w:val="24"/>
        </w:rPr>
        <w:t xml:space="preserve"> der Proseminare teilnehmen dürfen. </w:t>
      </w:r>
    </w:p>
    <w:p w14:paraId="5B34024A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</w:p>
    <w:p w14:paraId="7548B881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Themenvergabe:</w:t>
      </w:r>
    </w:p>
    <w:p w14:paraId="01DB3516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Themen für Hausarbeit und Vortrag </w:t>
      </w:r>
      <w:r w:rsidRPr="00C41B59">
        <w:rPr>
          <w:rFonts w:asciiTheme="minorHAnsi" w:hAnsiTheme="minorHAnsi" w:cs="Arial"/>
          <w:b/>
          <w:szCs w:val="24"/>
        </w:rPr>
        <w:t>werden nach Ende des Anmeldezeitraums per E-Mail vergeben</w:t>
      </w:r>
      <w:r w:rsidRPr="00C41B59">
        <w:rPr>
          <w:rFonts w:asciiTheme="minorHAnsi" w:hAnsiTheme="minorHAnsi" w:cs="Arial"/>
          <w:szCs w:val="24"/>
        </w:rPr>
        <w:t>. Dabei können (unverbindlich) drei Wunschthemen genannt werden; bei großem Interesse für einzelne Themen entscheidet das Los.</w:t>
      </w:r>
    </w:p>
    <w:p w14:paraId="51904929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</w:p>
    <w:p w14:paraId="27537E45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b/>
          <w:szCs w:val="24"/>
          <w:u w:val="single"/>
        </w:rPr>
        <w:t>Termine</w:t>
      </w:r>
      <w:r w:rsidRPr="00C41B59">
        <w:rPr>
          <w:rFonts w:asciiTheme="minorHAnsi" w:hAnsiTheme="minorHAnsi" w:cs="Arial"/>
          <w:szCs w:val="24"/>
        </w:rPr>
        <w:t>:</w:t>
      </w:r>
    </w:p>
    <w:p w14:paraId="491FD56A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Das Seminar findet</w:t>
      </w:r>
      <w:r w:rsidRPr="00C41B59">
        <w:rPr>
          <w:rFonts w:asciiTheme="minorHAnsi" w:hAnsiTheme="minorHAnsi" w:cs="Arial"/>
          <w:szCs w:val="24"/>
        </w:rPr>
        <w:t xml:space="preserve"> zu</w:t>
      </w:r>
      <w:r>
        <w:rPr>
          <w:rFonts w:asciiTheme="minorHAnsi" w:hAnsiTheme="minorHAnsi" w:cs="Arial"/>
          <w:szCs w:val="24"/>
        </w:rPr>
        <w:t xml:space="preserve"> den folgenden Terminen statt</w:t>
      </w:r>
      <w:r w:rsidRPr="00C41B59">
        <w:rPr>
          <w:rFonts w:asciiTheme="minorHAnsi" w:hAnsiTheme="minorHAnsi" w:cs="Arial"/>
          <w:szCs w:val="24"/>
        </w:rPr>
        <w:t xml:space="preserve">. Die Vortragstermine ergeben sich aus den </w:t>
      </w:r>
      <w:r>
        <w:rPr>
          <w:rFonts w:asciiTheme="minorHAnsi" w:hAnsiTheme="minorHAnsi" w:cs="Arial"/>
          <w:b/>
          <w:szCs w:val="24"/>
        </w:rPr>
        <w:t>verbindlichen A</w:t>
      </w:r>
      <w:r w:rsidRPr="00C41B59">
        <w:rPr>
          <w:rFonts w:asciiTheme="minorHAnsi" w:hAnsiTheme="minorHAnsi" w:cs="Arial"/>
          <w:b/>
          <w:szCs w:val="24"/>
        </w:rPr>
        <w:t>ngaben auf der Themenliste</w:t>
      </w:r>
      <w:r w:rsidRPr="00C41B59">
        <w:rPr>
          <w:rFonts w:asciiTheme="minorHAnsi" w:hAnsiTheme="minorHAnsi" w:cs="Arial"/>
          <w:szCs w:val="24"/>
        </w:rPr>
        <w:t>.</w:t>
      </w:r>
    </w:p>
    <w:p w14:paraId="654B0DC3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 </w:t>
      </w:r>
    </w:p>
    <w:p w14:paraId="0B5BCBE8" w14:textId="61149C42" w:rsidR="00FC526E" w:rsidRDefault="00FC526E" w:rsidP="00FC526E">
      <w:pPr>
        <w:pStyle w:val="Textkrper2"/>
        <w:numPr>
          <w:ilvl w:val="0"/>
          <w:numId w:val="4"/>
        </w:numPr>
        <w:ind w:left="397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Europäische Union</w:t>
      </w:r>
      <w:r>
        <w:rPr>
          <w:rFonts w:asciiTheme="minorHAnsi" w:hAnsiTheme="minorHAnsi" w:cs="Arial"/>
          <w:b/>
          <w:szCs w:val="24"/>
        </w:rPr>
        <w:tab/>
      </w:r>
      <w:r>
        <w:rPr>
          <w:rFonts w:asciiTheme="minorHAnsi" w:hAnsiTheme="minorHAnsi" w:cs="Arial"/>
          <w:b/>
          <w:szCs w:val="24"/>
        </w:rPr>
        <w:tab/>
        <w:t>Freitag</w:t>
      </w:r>
      <w:r w:rsidRPr="00C41B59">
        <w:rPr>
          <w:rFonts w:asciiTheme="minorHAnsi" w:hAnsiTheme="minorHAnsi" w:cs="Arial"/>
          <w:b/>
          <w:szCs w:val="24"/>
        </w:rPr>
        <w:t>,</w:t>
      </w:r>
      <w:r w:rsidR="003C4576">
        <w:rPr>
          <w:rFonts w:asciiTheme="minorHAnsi" w:hAnsiTheme="minorHAnsi" w:cs="Arial"/>
          <w:b/>
          <w:szCs w:val="24"/>
        </w:rPr>
        <w:t xml:space="preserve"> 15.01.2027</w:t>
      </w:r>
      <w:r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ab/>
        <w:t xml:space="preserve"> von 12 Uhr bis 18</w:t>
      </w:r>
      <w:r w:rsidRPr="00C41B59">
        <w:rPr>
          <w:rFonts w:asciiTheme="minorHAnsi" w:hAnsiTheme="minorHAnsi" w:cs="Arial"/>
          <w:b/>
          <w:szCs w:val="24"/>
        </w:rPr>
        <w:t xml:space="preserve"> Uhr</w:t>
      </w:r>
      <w:r>
        <w:rPr>
          <w:rFonts w:asciiTheme="minorHAnsi" w:hAnsiTheme="minorHAnsi" w:cs="Arial"/>
          <w:b/>
          <w:szCs w:val="24"/>
        </w:rPr>
        <w:t>, R. 1.05</w:t>
      </w:r>
      <w:r w:rsidR="006E0168">
        <w:rPr>
          <w:rFonts w:asciiTheme="minorHAnsi" w:hAnsiTheme="minorHAnsi" w:cs="Arial"/>
          <w:b/>
          <w:szCs w:val="24"/>
        </w:rPr>
        <w:t>5</w:t>
      </w:r>
    </w:p>
    <w:p w14:paraId="5BAA437E" w14:textId="2B5514DE" w:rsidR="00FC526E" w:rsidRPr="00C41B59" w:rsidRDefault="003C4576" w:rsidP="00FC526E">
      <w:pPr>
        <w:pStyle w:val="Textkrper2"/>
        <w:ind w:left="3540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Freitag, 29.01.2027</w:t>
      </w:r>
      <w:r w:rsidR="00FC526E">
        <w:rPr>
          <w:rFonts w:asciiTheme="minorHAnsi" w:hAnsiTheme="minorHAnsi" w:cs="Arial"/>
          <w:b/>
          <w:szCs w:val="24"/>
        </w:rPr>
        <w:tab/>
        <w:t xml:space="preserve"> von 12 Uhr bis 18 Uhr, R. 1.05</w:t>
      </w:r>
      <w:r w:rsidR="006E0168">
        <w:rPr>
          <w:rFonts w:asciiTheme="minorHAnsi" w:hAnsiTheme="minorHAnsi" w:cs="Arial"/>
          <w:b/>
          <w:szCs w:val="24"/>
        </w:rPr>
        <w:t>9</w:t>
      </w:r>
    </w:p>
    <w:p w14:paraId="2DEC2C2A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</w:p>
    <w:p w14:paraId="5867169B" w14:textId="77777777" w:rsidR="00FC526E" w:rsidRPr="00C41B59" w:rsidRDefault="00FC526E" w:rsidP="00FC526E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Prüfungsleistungen:</w:t>
      </w:r>
    </w:p>
    <w:p w14:paraId="05DB1FDD" w14:textId="4261BF24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Über das gewählte Thema ist eine </w:t>
      </w:r>
      <w:r w:rsidRPr="00C41B59">
        <w:rPr>
          <w:rFonts w:asciiTheme="minorHAnsi" w:hAnsiTheme="minorHAnsi" w:cs="Arial"/>
          <w:b/>
          <w:szCs w:val="24"/>
        </w:rPr>
        <w:t>Hausarbeit</w:t>
      </w:r>
      <w:r w:rsidRPr="00C41B59">
        <w:rPr>
          <w:rFonts w:asciiTheme="minorHAnsi" w:hAnsiTheme="minorHAnsi" w:cs="Arial"/>
          <w:szCs w:val="24"/>
        </w:rPr>
        <w:t xml:space="preserve"> zu erstellen. Sie ist zweimal in gedruckter Ausfertigung sowie </w:t>
      </w:r>
      <w:r w:rsidR="007D426E">
        <w:rPr>
          <w:rFonts w:asciiTheme="minorHAnsi" w:hAnsiTheme="minorHAnsi" w:cs="Arial"/>
          <w:szCs w:val="24"/>
        </w:rPr>
        <w:t xml:space="preserve">zusätzlich </w:t>
      </w:r>
      <w:r w:rsidRPr="00C41B59">
        <w:rPr>
          <w:rFonts w:asciiTheme="minorHAnsi" w:hAnsiTheme="minorHAnsi" w:cs="Arial"/>
          <w:szCs w:val="24"/>
        </w:rPr>
        <w:t xml:space="preserve">in elektronischer Form abzugeben. Grundsätzlich erfolgt die Abgabe der gedruckten Fassung </w:t>
      </w:r>
      <w:r w:rsidRPr="00C41B59">
        <w:rPr>
          <w:rFonts w:asciiTheme="minorHAnsi" w:hAnsiTheme="minorHAnsi" w:cs="Arial"/>
          <w:b/>
          <w:szCs w:val="24"/>
          <w:u w:val="single"/>
        </w:rPr>
        <w:t>spätestens zwei Wochen vor dem jeweiligen Vortragstermin</w:t>
      </w:r>
      <w:r w:rsidRPr="00C41B59">
        <w:rPr>
          <w:rFonts w:asciiTheme="minorHAnsi" w:hAnsiTheme="minorHAnsi" w:cs="Arial"/>
          <w:szCs w:val="24"/>
        </w:rPr>
        <w:t>.</w:t>
      </w:r>
    </w:p>
    <w:p w14:paraId="426215CF" w14:textId="7A0E6362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Arbeit </w:t>
      </w:r>
      <w:r w:rsidRPr="00C41B59">
        <w:rPr>
          <w:rFonts w:asciiTheme="minorHAnsi" w:hAnsiTheme="minorHAnsi" w:cs="Arial"/>
          <w:szCs w:val="24"/>
          <w:u w:val="single"/>
        </w:rPr>
        <w:t>darf nicht mehr</w:t>
      </w:r>
      <w:r w:rsidRPr="00C41B59">
        <w:rPr>
          <w:rFonts w:asciiTheme="minorHAnsi" w:hAnsiTheme="minorHAnsi" w:cs="Arial"/>
          <w:szCs w:val="24"/>
        </w:rPr>
        <w:t xml:space="preserve"> als </w:t>
      </w:r>
      <w:r w:rsidRPr="00C41B59">
        <w:rPr>
          <w:rFonts w:asciiTheme="minorHAnsi" w:hAnsiTheme="minorHAnsi" w:cs="Arial"/>
          <w:b/>
          <w:szCs w:val="24"/>
        </w:rPr>
        <w:t>12 Textseiten</w:t>
      </w:r>
      <w:r w:rsidRPr="00C41B59">
        <w:rPr>
          <w:rFonts w:asciiTheme="minorHAnsi" w:hAnsiTheme="minorHAnsi" w:cs="Arial"/>
          <w:szCs w:val="24"/>
        </w:rPr>
        <w:t xml:space="preserve"> umfassen (1,5-zeilig, ca. 4 cm Rand (links und rechts insgesamt), Schriftgröße 12/Times New Roman/Garamond; dies entspricht ca. 24.000 Zeichen) und muss den grundlegenden Kriterien des wissenschaftlichen Arbeitens genügen. Abbildungen, Tabellen etc. erweitern nicht das zulässige Seitenvolumen.</w:t>
      </w:r>
    </w:p>
    <w:p w14:paraId="47EB8CB3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(Hinweise dazu unter: </w:t>
      </w:r>
      <w:hyperlink r:id="rId5" w:history="1">
        <w:r w:rsidRPr="00C41B59">
          <w:rPr>
            <w:rStyle w:val="Hyperlink"/>
            <w:rFonts w:asciiTheme="minorHAnsi" w:hAnsiTheme="minorHAnsi" w:cs="Arial"/>
            <w:szCs w:val="24"/>
          </w:rPr>
          <w:t>https://www.economics.phil.fau.de/files/2016/03/handreichung.pdf</w:t>
        </w:r>
      </w:hyperlink>
      <w:r w:rsidRPr="00C41B59">
        <w:rPr>
          <w:rFonts w:asciiTheme="minorHAnsi" w:hAnsiTheme="minorHAnsi" w:cs="Arial"/>
          <w:szCs w:val="24"/>
        </w:rPr>
        <w:t xml:space="preserve">). </w:t>
      </w:r>
    </w:p>
    <w:p w14:paraId="32819B73" w14:textId="606BE70B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Die Begrenzung auf 12 Seiten erfordert eine bewusste Auswahl der zu behandelnden Aspekte. Die Arbeit muss alleine angefertigt werden, auch wenn ein Thema mehrfach vergeben wird</w:t>
      </w:r>
      <w:r>
        <w:rPr>
          <w:rFonts w:asciiTheme="minorHAnsi" w:hAnsiTheme="minorHAnsi" w:cs="Arial"/>
          <w:szCs w:val="24"/>
        </w:rPr>
        <w:t>. Ein gemeinsam geplanter und durchgeführter Vortrag</w:t>
      </w:r>
      <w:r w:rsidRPr="00C41B59">
        <w:rPr>
          <w:rFonts w:asciiTheme="minorHAnsi" w:hAnsiTheme="minorHAnsi" w:cs="Arial"/>
          <w:szCs w:val="24"/>
        </w:rPr>
        <w:t xml:space="preserve"> wird in diesen Fällen erwartet.</w:t>
      </w:r>
    </w:p>
    <w:p w14:paraId="31355E40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lastRenderedPageBreak/>
        <w:t>Die angegebene Literatur dient nur zur grundsätzlichen Orientierung bez</w:t>
      </w:r>
      <w:r w:rsidR="00BF23FB">
        <w:rPr>
          <w:rFonts w:asciiTheme="minorHAnsi" w:hAnsiTheme="minorHAnsi" w:cs="Arial"/>
          <w:szCs w:val="24"/>
        </w:rPr>
        <w:t xml:space="preserve">üglich der Themen. Eine darüber </w:t>
      </w:r>
      <w:r w:rsidRPr="00C41B59">
        <w:rPr>
          <w:rFonts w:asciiTheme="minorHAnsi" w:hAnsiTheme="minorHAnsi" w:cs="Arial"/>
          <w:szCs w:val="24"/>
        </w:rPr>
        <w:t xml:space="preserve">hinausgehende selbständige Literatursuche wird erwartet. </w:t>
      </w:r>
      <w:r>
        <w:rPr>
          <w:rFonts w:asciiTheme="minorHAnsi" w:hAnsiTheme="minorHAnsi" w:cs="Arial"/>
          <w:szCs w:val="24"/>
        </w:rPr>
        <w:t>Die angegebene Einstiegsliteratur muss verwendet werden.</w:t>
      </w:r>
    </w:p>
    <w:p w14:paraId="676D7E10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Arbeiten, die den genannten formalen Kriterien (Abgabe, Umfang, wissenschaftliches Arbeiten) nicht entsprechen, werden als „nicht bestanden“ bewertet!</w:t>
      </w:r>
    </w:p>
    <w:p w14:paraId="6E8A0A38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Im mündlichen Vortrag zum Thema werden die Inhalte der Hausarbeit den Seminarteilnehmer/innen vorgestellt. Der </w:t>
      </w:r>
      <w:r w:rsidRPr="00C41B59">
        <w:rPr>
          <w:rFonts w:asciiTheme="minorHAnsi" w:hAnsiTheme="minorHAnsi" w:cs="Arial"/>
          <w:b/>
          <w:szCs w:val="24"/>
        </w:rPr>
        <w:t>Vortrag</w:t>
      </w:r>
      <w:r w:rsidRPr="00C41B59">
        <w:rPr>
          <w:rFonts w:asciiTheme="minorHAnsi" w:hAnsiTheme="minorHAnsi" w:cs="Arial"/>
          <w:szCs w:val="24"/>
        </w:rPr>
        <w:t xml:space="preserve"> soll zwischen 45 und 60 Minuten dauern. Abwesenheit am Vortra</w:t>
      </w:r>
      <w:r w:rsidR="00627B12">
        <w:rPr>
          <w:rFonts w:asciiTheme="minorHAnsi" w:hAnsiTheme="minorHAnsi" w:cs="Arial"/>
          <w:szCs w:val="24"/>
        </w:rPr>
        <w:t>gstermin ohne ärztliches Attest</w:t>
      </w:r>
      <w:r w:rsidRPr="00C41B59">
        <w:rPr>
          <w:rFonts w:asciiTheme="minorHAnsi" w:hAnsiTheme="minorHAnsi" w:cs="Arial"/>
          <w:szCs w:val="24"/>
        </w:rPr>
        <w:t xml:space="preserve"> führt zum Nichtbestehen des Seminars. Die wichtigsten Aussagen sind in einem </w:t>
      </w:r>
      <w:r w:rsidRPr="00C41B59">
        <w:rPr>
          <w:rFonts w:asciiTheme="minorHAnsi" w:hAnsiTheme="minorHAnsi" w:cs="Arial"/>
          <w:b/>
          <w:szCs w:val="24"/>
        </w:rPr>
        <w:t xml:space="preserve">Handout </w:t>
      </w:r>
      <w:r w:rsidRPr="00C41B59">
        <w:rPr>
          <w:rFonts w:asciiTheme="minorHAnsi" w:hAnsiTheme="minorHAnsi" w:cs="Arial"/>
          <w:szCs w:val="24"/>
        </w:rPr>
        <w:t xml:space="preserve">knapp zusammenzufassen.  Dieses wird den Seminarteilnehmer/innen zur Verfügung gestellt; zusätzlich sollte auch die </w:t>
      </w:r>
      <w:r w:rsidRPr="00C41B59">
        <w:rPr>
          <w:rFonts w:asciiTheme="minorHAnsi" w:hAnsiTheme="minorHAnsi" w:cs="Arial"/>
          <w:b/>
          <w:szCs w:val="24"/>
        </w:rPr>
        <w:t>Präsentation</w:t>
      </w:r>
      <w:r w:rsidRPr="00C41B59">
        <w:rPr>
          <w:rFonts w:asciiTheme="minorHAnsi" w:hAnsiTheme="minorHAnsi" w:cs="Arial"/>
          <w:szCs w:val="24"/>
        </w:rPr>
        <w:t xml:space="preserve"> auf StudOn eingestellt werden.</w:t>
      </w:r>
    </w:p>
    <w:p w14:paraId="40B70174" w14:textId="77777777" w:rsidR="00FC526E" w:rsidRPr="00C41B59" w:rsidRDefault="00FC526E" w:rsidP="00FC526E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Das (Pro-) Seminar ist bestanden, wenn die Gesamtleistung aus Hausarbeit und Vortrag mindestens mit „ausreichend“ (4,0) bewertet wurde </w:t>
      </w:r>
      <w:r w:rsidRPr="00C41B59">
        <w:rPr>
          <w:rFonts w:asciiTheme="minorHAnsi" w:hAnsiTheme="minorHAnsi" w:cs="Arial"/>
          <w:b/>
          <w:szCs w:val="24"/>
        </w:rPr>
        <w:t>und</w:t>
      </w:r>
      <w:r w:rsidRPr="00C41B59">
        <w:rPr>
          <w:rFonts w:asciiTheme="minorHAnsi" w:hAnsiTheme="minorHAnsi" w:cs="Arial"/>
          <w:szCs w:val="24"/>
        </w:rPr>
        <w:t xml:space="preserve"> regelmäßig am Seminar teilgenommen wurde.</w:t>
      </w:r>
    </w:p>
    <w:p w14:paraId="47BF8366" w14:textId="77777777" w:rsidR="00FC526E" w:rsidRPr="00C41B59" w:rsidRDefault="00FC526E" w:rsidP="00FC526E">
      <w:pPr>
        <w:rPr>
          <w:sz w:val="24"/>
          <w:szCs w:val="24"/>
        </w:rPr>
      </w:pPr>
    </w:p>
    <w:p w14:paraId="1920CC1B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1A42D871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1176161C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7A3AE658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40A3A452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60E3BC6C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1BC064E3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3EEB1049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5ADCA6B8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5DF4D7C1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1505EB12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1F17D0DB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6FB427B0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6D638BBD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1EF4B4CB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2CC88F36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252ADEB0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78ADD821" w14:textId="77777777" w:rsidR="00FC526E" w:rsidRDefault="00FC526E" w:rsidP="00FC526E">
      <w:pPr>
        <w:rPr>
          <w:b/>
          <w:sz w:val="24"/>
          <w:szCs w:val="24"/>
        </w:rPr>
      </w:pPr>
    </w:p>
    <w:p w14:paraId="40497428" w14:textId="7AC29BE5" w:rsidR="00FC526E" w:rsidRPr="00274DF6" w:rsidRDefault="00FC526E" w:rsidP="00FC526E">
      <w:pPr>
        <w:pStyle w:val="berschrift6"/>
        <w:rPr>
          <w:rFonts w:asciiTheme="minorHAnsi" w:hAnsiTheme="minorHAnsi" w:cs="Arial"/>
          <w:sz w:val="24"/>
          <w:szCs w:val="24"/>
        </w:rPr>
      </w:pPr>
      <w:r w:rsidRPr="00C41B59">
        <w:rPr>
          <w:rFonts w:asciiTheme="minorHAnsi" w:hAnsiTheme="minorHAnsi" w:cs="Arial"/>
          <w:sz w:val="24"/>
          <w:szCs w:val="24"/>
        </w:rPr>
        <w:lastRenderedPageBreak/>
        <w:t>Volkswirtschaftliches (Pro-) Seminar: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41B59">
        <w:rPr>
          <w:rFonts w:asciiTheme="minorHAnsi" w:hAnsiTheme="minorHAnsi" w:cs="Arial"/>
          <w:sz w:val="24"/>
          <w:szCs w:val="24"/>
        </w:rPr>
        <w:t>Europäische Union</w:t>
      </w:r>
    </w:p>
    <w:p w14:paraId="5CF9FA45" w14:textId="77777777" w:rsidR="00FC526E" w:rsidRDefault="00FC526E" w:rsidP="00FC526E">
      <w:pPr>
        <w:rPr>
          <w:b/>
          <w:sz w:val="24"/>
          <w:szCs w:val="24"/>
        </w:rPr>
      </w:pPr>
    </w:p>
    <w:p w14:paraId="7D031DCD" w14:textId="77777777" w:rsidR="00FC526E" w:rsidRPr="00C41B59" w:rsidRDefault="00FC526E" w:rsidP="00FC526E">
      <w:pPr>
        <w:rPr>
          <w:b/>
          <w:sz w:val="24"/>
          <w:szCs w:val="24"/>
        </w:rPr>
      </w:pPr>
      <w:r w:rsidRPr="00C41B59">
        <w:rPr>
          <w:b/>
          <w:sz w:val="24"/>
          <w:szCs w:val="24"/>
        </w:rPr>
        <w:t>TERMINPLAN</w:t>
      </w:r>
    </w:p>
    <w:p w14:paraId="7B9B4186" w14:textId="4AE5D163" w:rsidR="00FC526E" w:rsidRPr="00C41B59" w:rsidRDefault="00FC526E" w:rsidP="00FC526E">
      <w:pPr>
        <w:rPr>
          <w:sz w:val="24"/>
          <w:szCs w:val="24"/>
        </w:rPr>
      </w:pPr>
      <w:r w:rsidRPr="00C10066">
        <w:rPr>
          <w:b/>
          <w:sz w:val="24"/>
          <w:szCs w:val="24"/>
        </w:rPr>
        <w:t>Vorbesprechung: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12:00 Uhr, Raum </w:t>
      </w:r>
      <w:r w:rsidR="001F5A8B">
        <w:rPr>
          <w:sz w:val="24"/>
          <w:szCs w:val="24"/>
        </w:rPr>
        <w:t>00.15 PSG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73510">
        <w:rPr>
          <w:sz w:val="24"/>
          <w:szCs w:val="24"/>
        </w:rPr>
        <w:tab/>
      </w:r>
      <w:r w:rsidR="00627B12">
        <w:rPr>
          <w:sz w:val="24"/>
          <w:szCs w:val="24"/>
        </w:rPr>
        <w:t xml:space="preserve"> 16.10.2026</w:t>
      </w:r>
    </w:p>
    <w:p w14:paraId="0E2D9BDB" w14:textId="77777777" w:rsidR="00FC526E" w:rsidRDefault="00FC526E" w:rsidP="00FC526E">
      <w:pPr>
        <w:rPr>
          <w:b/>
          <w:sz w:val="24"/>
          <w:szCs w:val="24"/>
        </w:rPr>
      </w:pPr>
    </w:p>
    <w:p w14:paraId="06C0E2E0" w14:textId="77777777" w:rsidR="00FC526E" w:rsidRPr="00274DF6" w:rsidRDefault="00FC526E" w:rsidP="00FC526E">
      <w:pPr>
        <w:rPr>
          <w:sz w:val="24"/>
          <w:szCs w:val="24"/>
        </w:rPr>
      </w:pPr>
      <w:r w:rsidRPr="00274DF6">
        <w:rPr>
          <w:sz w:val="24"/>
          <w:szCs w:val="24"/>
        </w:rPr>
        <w:t>Thema 1:</w:t>
      </w:r>
      <w:r w:rsidRPr="00274DF6">
        <w:rPr>
          <w:sz w:val="24"/>
          <w:szCs w:val="24"/>
        </w:rPr>
        <w:tab/>
      </w:r>
      <w:r w:rsidRPr="00274D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15</w:t>
      </w:r>
      <w:r>
        <w:rPr>
          <w:sz w:val="24"/>
          <w:szCs w:val="24"/>
        </w:rPr>
        <w:t>.01</w:t>
      </w:r>
      <w:r w:rsidRPr="00274DF6">
        <w:rPr>
          <w:sz w:val="24"/>
          <w:szCs w:val="24"/>
        </w:rPr>
        <w:t>.20</w:t>
      </w:r>
      <w:r w:rsidR="00627B12">
        <w:rPr>
          <w:sz w:val="24"/>
          <w:szCs w:val="24"/>
        </w:rPr>
        <w:t>27</w:t>
      </w:r>
    </w:p>
    <w:p w14:paraId="30CC5556" w14:textId="77777777" w:rsidR="00FC526E" w:rsidRPr="00C41B59" w:rsidRDefault="00973510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Vertiefung des EU-Binnenmarkts: Chancen und Probleme</w:t>
      </w:r>
    </w:p>
    <w:p w14:paraId="29F2934B" w14:textId="77777777" w:rsidR="00FC526E" w:rsidRPr="00C41B59" w:rsidRDefault="00973510" w:rsidP="00FC526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Sachverständigenrat: Binnenmarkt vertiefen, Jahresgutachten 2025/26, S. 162 - 177</w:t>
      </w:r>
    </w:p>
    <w:p w14:paraId="5A096FEC" w14:textId="77777777" w:rsidR="00FC526E" w:rsidRPr="00C41B59" w:rsidRDefault="00FC526E" w:rsidP="00FC526E">
      <w:pPr>
        <w:rPr>
          <w:sz w:val="24"/>
          <w:szCs w:val="24"/>
        </w:rPr>
      </w:pPr>
    </w:p>
    <w:p w14:paraId="37179C1C" w14:textId="77777777" w:rsidR="00FC526E" w:rsidRPr="00274DF6" w:rsidRDefault="00FC526E" w:rsidP="00FC526E">
      <w:pPr>
        <w:rPr>
          <w:sz w:val="24"/>
          <w:szCs w:val="24"/>
        </w:rPr>
      </w:pPr>
      <w:r>
        <w:rPr>
          <w:sz w:val="24"/>
          <w:szCs w:val="24"/>
        </w:rPr>
        <w:t xml:space="preserve">Thema 2: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4DF6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15</w:t>
      </w:r>
      <w:r>
        <w:rPr>
          <w:sz w:val="24"/>
          <w:szCs w:val="24"/>
        </w:rPr>
        <w:t>.01</w:t>
      </w:r>
      <w:r w:rsidRPr="00274DF6">
        <w:rPr>
          <w:sz w:val="24"/>
          <w:szCs w:val="24"/>
        </w:rPr>
        <w:t>.20</w:t>
      </w:r>
      <w:r w:rsidR="00627B12">
        <w:rPr>
          <w:sz w:val="24"/>
          <w:szCs w:val="24"/>
        </w:rPr>
        <w:t>27</w:t>
      </w:r>
    </w:p>
    <w:p w14:paraId="1FCC9CD0" w14:textId="77777777" w:rsidR="00FC526E" w:rsidRPr="00C41B59" w:rsidRDefault="00FC526E" w:rsidP="00FC526E">
      <w:pPr>
        <w:rPr>
          <w:b/>
          <w:sz w:val="24"/>
          <w:szCs w:val="24"/>
        </w:rPr>
      </w:pPr>
      <w:r w:rsidRPr="00C41B59">
        <w:rPr>
          <w:b/>
          <w:sz w:val="24"/>
          <w:szCs w:val="24"/>
        </w:rPr>
        <w:t>Gemeinsame Agrarpolitik: Funktio</w:t>
      </w:r>
      <w:r w:rsidR="00AD55AC">
        <w:rPr>
          <w:b/>
          <w:sz w:val="24"/>
          <w:szCs w:val="24"/>
        </w:rPr>
        <w:t>nsweise und Reformen</w:t>
      </w:r>
    </w:p>
    <w:p w14:paraId="07A8ABB6" w14:textId="77777777" w:rsidR="00FC526E" w:rsidRPr="00C41B59" w:rsidRDefault="00FC526E" w:rsidP="00FC526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C41B59">
        <w:rPr>
          <w:sz w:val="24"/>
          <w:szCs w:val="24"/>
        </w:rPr>
        <w:t xml:space="preserve">Lakner, S. und Röder, N.: Die Gemeinsame Agrarpolitik der EU: Flaggschiff-Politik oder ewige Reformruine, Wirtschaftsdienst 3/2024, S. 159-164 </w:t>
      </w:r>
    </w:p>
    <w:p w14:paraId="6CD017EB" w14:textId="77777777" w:rsidR="00FC526E" w:rsidRPr="00C41B59" w:rsidRDefault="00FC526E" w:rsidP="00FC526E">
      <w:pPr>
        <w:rPr>
          <w:b/>
          <w:sz w:val="24"/>
          <w:szCs w:val="24"/>
        </w:rPr>
      </w:pPr>
    </w:p>
    <w:p w14:paraId="0632720F" w14:textId="77777777" w:rsidR="00FC526E" w:rsidRPr="00274DF6" w:rsidRDefault="00FC526E" w:rsidP="00FC526E">
      <w:pPr>
        <w:rPr>
          <w:sz w:val="24"/>
          <w:szCs w:val="24"/>
        </w:rPr>
      </w:pPr>
      <w:r w:rsidRPr="00274DF6">
        <w:rPr>
          <w:sz w:val="24"/>
          <w:szCs w:val="24"/>
        </w:rPr>
        <w:t>Thema 3:</w:t>
      </w:r>
      <w:r w:rsidR="00F47E9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4D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15</w:t>
      </w:r>
      <w:r>
        <w:rPr>
          <w:sz w:val="24"/>
          <w:szCs w:val="24"/>
        </w:rPr>
        <w:t>.01</w:t>
      </w:r>
      <w:r w:rsidRPr="00274DF6">
        <w:rPr>
          <w:sz w:val="24"/>
          <w:szCs w:val="24"/>
        </w:rPr>
        <w:t>.20</w:t>
      </w:r>
      <w:r w:rsidR="00627B12">
        <w:rPr>
          <w:sz w:val="24"/>
          <w:szCs w:val="24"/>
        </w:rPr>
        <w:t>27</w:t>
      </w:r>
    </w:p>
    <w:p w14:paraId="584E5B46" w14:textId="77777777" w:rsidR="00FC526E" w:rsidRPr="00C41B59" w:rsidRDefault="00F47E92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EU – Lieferkettenrichtlinie: Vorteile und Nachteile</w:t>
      </w:r>
    </w:p>
    <w:p w14:paraId="5110849D" w14:textId="77777777" w:rsidR="00FC526E" w:rsidRPr="00C41B59" w:rsidRDefault="00F47E92" w:rsidP="00FC526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Lorenzen, S.: Wertschöpfungsketten im Wandel. Sorgt die Europäische Lieferkettenrichtlinie für Soziale Nachhaltigkeit? WSI-Mitteilungen 03/2025, S. 218 - 222</w:t>
      </w:r>
    </w:p>
    <w:p w14:paraId="01BC625E" w14:textId="77777777" w:rsidR="00FC526E" w:rsidRPr="00C41B59" w:rsidRDefault="00FC526E" w:rsidP="00FC526E">
      <w:pPr>
        <w:rPr>
          <w:sz w:val="24"/>
          <w:szCs w:val="24"/>
        </w:rPr>
      </w:pPr>
    </w:p>
    <w:p w14:paraId="33164FC5" w14:textId="77777777" w:rsidR="00FC526E" w:rsidRPr="00C41B59" w:rsidRDefault="00FC526E" w:rsidP="00FC526E">
      <w:pPr>
        <w:rPr>
          <w:sz w:val="24"/>
          <w:szCs w:val="24"/>
        </w:rPr>
      </w:pPr>
      <w:r w:rsidRPr="00C41B59">
        <w:rPr>
          <w:sz w:val="24"/>
          <w:szCs w:val="24"/>
        </w:rPr>
        <w:t>Thema 4</w:t>
      </w:r>
      <w:r>
        <w:rPr>
          <w:sz w:val="24"/>
          <w:szCs w:val="24"/>
        </w:rPr>
        <w:t>:</w:t>
      </w:r>
      <w:r w:rsidR="008D1A6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15.01.2027</w:t>
      </w:r>
    </w:p>
    <w:p w14:paraId="79FF0511" w14:textId="77777777" w:rsidR="00FC526E" w:rsidRPr="00C41B59" w:rsidRDefault="008D1A62" w:rsidP="00FC526E">
      <w:pPr>
        <w:rPr>
          <w:sz w:val="24"/>
          <w:szCs w:val="24"/>
        </w:rPr>
      </w:pPr>
      <w:r>
        <w:rPr>
          <w:b/>
          <w:sz w:val="24"/>
          <w:szCs w:val="24"/>
        </w:rPr>
        <w:t>Freihandelsabkommen der EU: Chancen und Risiken</w:t>
      </w:r>
      <w:r w:rsidR="00FC526E" w:rsidRPr="00C41B59">
        <w:rPr>
          <w:b/>
          <w:sz w:val="24"/>
          <w:szCs w:val="24"/>
        </w:rPr>
        <w:tab/>
      </w:r>
      <w:r w:rsidR="00FC526E" w:rsidRPr="00C41B59">
        <w:rPr>
          <w:b/>
          <w:sz w:val="24"/>
          <w:szCs w:val="24"/>
        </w:rPr>
        <w:tab/>
      </w:r>
      <w:r w:rsidR="00FC526E" w:rsidRPr="00C41B59">
        <w:rPr>
          <w:b/>
          <w:sz w:val="24"/>
          <w:szCs w:val="24"/>
        </w:rPr>
        <w:tab/>
      </w:r>
    </w:p>
    <w:p w14:paraId="47725F7A" w14:textId="77777777" w:rsidR="00FC526E" w:rsidRPr="00C41B59" w:rsidRDefault="008D1A62" w:rsidP="00FC526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Weit über Europa hinaus: Potenziale und Grenzen von EU – Freihandelsabkommen, Wirtschaftsdienst 1/2026, S. 61 - 66</w:t>
      </w:r>
    </w:p>
    <w:p w14:paraId="09C5A05E" w14:textId="77777777" w:rsidR="00FC526E" w:rsidRPr="00C41B59" w:rsidRDefault="00FC526E" w:rsidP="00FC526E">
      <w:pPr>
        <w:rPr>
          <w:sz w:val="24"/>
          <w:szCs w:val="24"/>
        </w:rPr>
      </w:pPr>
    </w:p>
    <w:p w14:paraId="7DA5EFD7" w14:textId="77777777" w:rsidR="00FC526E" w:rsidRDefault="00FC526E" w:rsidP="00FC526E">
      <w:pPr>
        <w:rPr>
          <w:sz w:val="24"/>
          <w:szCs w:val="24"/>
        </w:rPr>
      </w:pPr>
      <w:r w:rsidRPr="00C41B59">
        <w:rPr>
          <w:sz w:val="24"/>
          <w:szCs w:val="24"/>
        </w:rPr>
        <w:t>Thema 5</w:t>
      </w:r>
      <w:r>
        <w:rPr>
          <w:sz w:val="24"/>
          <w:szCs w:val="24"/>
        </w:rPr>
        <w:t>:</w:t>
      </w:r>
      <w:r w:rsidR="008D1A6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15</w:t>
      </w:r>
      <w:r>
        <w:rPr>
          <w:sz w:val="24"/>
          <w:szCs w:val="24"/>
        </w:rPr>
        <w:t>.01</w:t>
      </w:r>
      <w:r w:rsidR="00627B12">
        <w:rPr>
          <w:sz w:val="24"/>
          <w:szCs w:val="24"/>
        </w:rPr>
        <w:t>.2027</w:t>
      </w:r>
    </w:p>
    <w:p w14:paraId="61EF0610" w14:textId="77777777" w:rsidR="00036D7B" w:rsidRPr="00036D7B" w:rsidRDefault="00036D7B" w:rsidP="00FC526E">
      <w:pPr>
        <w:rPr>
          <w:b/>
          <w:sz w:val="24"/>
          <w:szCs w:val="24"/>
        </w:rPr>
      </w:pPr>
      <w:r w:rsidRPr="00036D7B">
        <w:rPr>
          <w:b/>
          <w:sz w:val="24"/>
          <w:szCs w:val="24"/>
        </w:rPr>
        <w:t>Eurobonds: Chancen und Risiken</w:t>
      </w:r>
    </w:p>
    <w:p w14:paraId="29C87080" w14:textId="77777777" w:rsidR="00FC526E" w:rsidRPr="003C450F" w:rsidRDefault="00036D7B" w:rsidP="00FC526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Meyer, D.: Europäische Union und Währungsunion in der Dauerkrise II, 2. Aufl., Wiesbaden 2022, S. 9 - 29</w:t>
      </w:r>
    </w:p>
    <w:p w14:paraId="0990AC6E" w14:textId="77777777" w:rsidR="00FC526E" w:rsidRPr="00274DF6" w:rsidRDefault="00FC526E" w:rsidP="00FC526E">
      <w:pPr>
        <w:rPr>
          <w:sz w:val="24"/>
          <w:szCs w:val="24"/>
        </w:rPr>
      </w:pPr>
      <w:r w:rsidRPr="00274DF6">
        <w:rPr>
          <w:sz w:val="24"/>
          <w:szCs w:val="24"/>
        </w:rPr>
        <w:lastRenderedPageBreak/>
        <w:t>Thema 6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  <w:t>15.01.2027</w:t>
      </w:r>
    </w:p>
    <w:p w14:paraId="0E33A7D8" w14:textId="77777777" w:rsidR="00FC526E" w:rsidRPr="00C41B59" w:rsidRDefault="00FC526E" w:rsidP="00FC526E">
      <w:pPr>
        <w:rPr>
          <w:b/>
          <w:sz w:val="24"/>
          <w:szCs w:val="24"/>
        </w:rPr>
      </w:pPr>
      <w:r w:rsidRPr="00C41B59">
        <w:rPr>
          <w:b/>
          <w:sz w:val="24"/>
          <w:szCs w:val="24"/>
        </w:rPr>
        <w:t>Die Bedeutung der Europäischen Investitionsbank für die wirtschaftliche Entwicklung der EU</w:t>
      </w:r>
    </w:p>
    <w:p w14:paraId="6EBABF91" w14:textId="77777777" w:rsidR="00FC526E" w:rsidRPr="00C41B59" w:rsidRDefault="00FC526E" w:rsidP="00FC526E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C41B59">
        <w:rPr>
          <w:sz w:val="24"/>
          <w:szCs w:val="24"/>
        </w:rPr>
        <w:t>Europäische Investitionsbank: Die EIB im Überblick, Luxemburg 2024</w:t>
      </w:r>
    </w:p>
    <w:p w14:paraId="0D53FD10" w14:textId="77777777" w:rsidR="00FC526E" w:rsidRPr="00C41B59" w:rsidRDefault="00FC526E" w:rsidP="00FC526E">
      <w:pPr>
        <w:rPr>
          <w:sz w:val="24"/>
          <w:szCs w:val="24"/>
        </w:rPr>
      </w:pPr>
    </w:p>
    <w:p w14:paraId="6A200B21" w14:textId="77777777" w:rsidR="00FC526E" w:rsidRPr="00C41B59" w:rsidRDefault="00FC526E" w:rsidP="00FC526E">
      <w:pPr>
        <w:rPr>
          <w:sz w:val="24"/>
          <w:szCs w:val="24"/>
        </w:rPr>
      </w:pPr>
      <w:r w:rsidRPr="00C41B59">
        <w:rPr>
          <w:sz w:val="24"/>
          <w:szCs w:val="24"/>
        </w:rPr>
        <w:t>Thema 7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29.01.2027</w:t>
      </w:r>
    </w:p>
    <w:p w14:paraId="6A57D34B" w14:textId="77777777" w:rsidR="00FC526E" w:rsidRPr="00C41B59" w:rsidRDefault="00E269FB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Der digitale Euro: Chancen und Risiken</w:t>
      </w:r>
    </w:p>
    <w:p w14:paraId="4651CA13" w14:textId="77777777" w:rsidR="00FC526E" w:rsidRPr="00C41B59" w:rsidRDefault="00E269FB" w:rsidP="00FC526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Deutsche Bundesbank: Der digitale Euro: Kernelemente und Perspektiven. Monatsbericht März 2026</w:t>
      </w:r>
    </w:p>
    <w:p w14:paraId="4AC20EF9" w14:textId="77777777" w:rsidR="00FC526E" w:rsidRPr="00C41B59" w:rsidRDefault="00FC526E" w:rsidP="00FC526E">
      <w:pPr>
        <w:rPr>
          <w:sz w:val="24"/>
          <w:szCs w:val="24"/>
        </w:rPr>
      </w:pPr>
    </w:p>
    <w:p w14:paraId="11C538A8" w14:textId="77777777" w:rsidR="00FC526E" w:rsidRPr="00C41B59" w:rsidRDefault="00FC526E" w:rsidP="00FC526E">
      <w:pPr>
        <w:rPr>
          <w:sz w:val="24"/>
          <w:szCs w:val="24"/>
        </w:rPr>
      </w:pPr>
      <w:r w:rsidRPr="00C41B59">
        <w:rPr>
          <w:sz w:val="24"/>
          <w:szCs w:val="24"/>
        </w:rPr>
        <w:t>Thema 8</w:t>
      </w:r>
      <w:r w:rsidR="00F36B8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29</w:t>
      </w:r>
      <w:r>
        <w:rPr>
          <w:sz w:val="24"/>
          <w:szCs w:val="24"/>
        </w:rPr>
        <w:t>.01</w:t>
      </w:r>
      <w:r w:rsidR="00627B12">
        <w:rPr>
          <w:sz w:val="24"/>
          <w:szCs w:val="24"/>
        </w:rPr>
        <w:t>.2027</w:t>
      </w:r>
    </w:p>
    <w:p w14:paraId="561B4279" w14:textId="77777777" w:rsidR="00FC526E" w:rsidRPr="00C41B59" w:rsidRDefault="00F36B8B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Bestimmungsfaktoren des Wechselkurses Euro / Dollar</w:t>
      </w:r>
    </w:p>
    <w:p w14:paraId="6ED1F3B2" w14:textId="77777777" w:rsidR="00FC526E" w:rsidRPr="00C41B59" w:rsidRDefault="00F36B8B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Deutsche Bundesbank: Was bestimmt die Wechselkursbewegungen des Euro gegenüber dem US – Dollar? Monatsbericht Januar 2026</w:t>
      </w:r>
    </w:p>
    <w:p w14:paraId="077EE868" w14:textId="77777777" w:rsidR="00FC526E" w:rsidRPr="00C41B59" w:rsidRDefault="00FC526E" w:rsidP="00FC526E">
      <w:pPr>
        <w:rPr>
          <w:sz w:val="24"/>
          <w:szCs w:val="24"/>
        </w:rPr>
      </w:pPr>
    </w:p>
    <w:p w14:paraId="2AA69142" w14:textId="77777777" w:rsidR="00FC526E" w:rsidRPr="00C41B59" w:rsidRDefault="00FC526E" w:rsidP="00FC526E">
      <w:pPr>
        <w:rPr>
          <w:sz w:val="24"/>
          <w:szCs w:val="24"/>
        </w:rPr>
      </w:pPr>
      <w:r w:rsidRPr="00C41B59">
        <w:rPr>
          <w:sz w:val="24"/>
          <w:szCs w:val="24"/>
        </w:rPr>
        <w:t>Thema 9</w:t>
      </w:r>
      <w:r w:rsidR="00A8580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29.01.2027</w:t>
      </w:r>
    </w:p>
    <w:p w14:paraId="531F62A6" w14:textId="77777777" w:rsidR="00FC526E" w:rsidRPr="00C41B59" w:rsidRDefault="00A85808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Der Europäische CO2 – Grenzausgleich: Chancen und Risiken</w:t>
      </w:r>
    </w:p>
    <w:p w14:paraId="761853B1" w14:textId="77777777" w:rsidR="00FC526E" w:rsidRPr="00C41B59" w:rsidRDefault="00A85808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Felbermayr, G. et al.: Grenzausgleich für die EU – Klimapolitik: Optionen und ihre ökonomischen Wirkungen, Wirtschaftsdienst 5/2026, S. 332 - 337</w:t>
      </w:r>
    </w:p>
    <w:p w14:paraId="1E4FA1E4" w14:textId="77777777" w:rsidR="00FC526E" w:rsidRPr="00C41B59" w:rsidRDefault="00FC526E" w:rsidP="00FC526E">
      <w:pPr>
        <w:rPr>
          <w:sz w:val="24"/>
          <w:szCs w:val="24"/>
        </w:rPr>
      </w:pPr>
    </w:p>
    <w:p w14:paraId="70027394" w14:textId="77777777" w:rsidR="00FC526E" w:rsidRPr="00C41B59" w:rsidRDefault="00FC526E" w:rsidP="00FC526E">
      <w:pPr>
        <w:rPr>
          <w:sz w:val="24"/>
          <w:szCs w:val="24"/>
        </w:rPr>
      </w:pPr>
      <w:r w:rsidRPr="00C41B59">
        <w:rPr>
          <w:sz w:val="24"/>
          <w:szCs w:val="24"/>
        </w:rPr>
        <w:t>Thema 10</w:t>
      </w:r>
      <w:r w:rsidR="00A8580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29.01.2027</w:t>
      </w:r>
    </w:p>
    <w:p w14:paraId="2918E71C" w14:textId="77777777" w:rsidR="00FC526E" w:rsidRPr="00C41B59" w:rsidRDefault="008F5CA4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ökonomischen Auswirkungen der Europäischen Flotten- CO2 - Standards</w:t>
      </w:r>
      <w:r w:rsidR="00FC526E">
        <w:rPr>
          <w:b/>
          <w:sz w:val="24"/>
          <w:szCs w:val="24"/>
        </w:rPr>
        <w:tab/>
      </w:r>
      <w:r w:rsidR="00FC526E">
        <w:rPr>
          <w:b/>
          <w:sz w:val="24"/>
          <w:szCs w:val="24"/>
        </w:rPr>
        <w:tab/>
      </w:r>
    </w:p>
    <w:p w14:paraId="3B66D7D7" w14:textId="77777777" w:rsidR="00FC526E" w:rsidRPr="003C450F" w:rsidRDefault="00C7172B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Dertwinkel – Kalt, M. und Wey, C.: Europäische Flotten – CO2 – Standards: Auswirkungen für Verbraucher und Hersteller, Wirtschaftsdienst 02/2026, S. 119 - 122 </w:t>
      </w:r>
    </w:p>
    <w:p w14:paraId="7373358F" w14:textId="77777777" w:rsidR="003C450F" w:rsidRDefault="003C450F" w:rsidP="00FC526E">
      <w:pPr>
        <w:rPr>
          <w:sz w:val="24"/>
          <w:szCs w:val="24"/>
        </w:rPr>
      </w:pPr>
    </w:p>
    <w:p w14:paraId="25DAA2B7" w14:textId="77777777" w:rsidR="003C450F" w:rsidRDefault="003C450F" w:rsidP="00FC526E">
      <w:pPr>
        <w:rPr>
          <w:sz w:val="24"/>
          <w:szCs w:val="24"/>
        </w:rPr>
      </w:pPr>
    </w:p>
    <w:p w14:paraId="4FA11262" w14:textId="77777777" w:rsidR="003C450F" w:rsidRDefault="003C450F" w:rsidP="00FC526E">
      <w:pPr>
        <w:rPr>
          <w:sz w:val="24"/>
          <w:szCs w:val="24"/>
        </w:rPr>
      </w:pPr>
    </w:p>
    <w:p w14:paraId="714B1383" w14:textId="77777777" w:rsidR="003C450F" w:rsidRDefault="003C450F" w:rsidP="00FC526E">
      <w:pPr>
        <w:rPr>
          <w:sz w:val="24"/>
          <w:szCs w:val="24"/>
        </w:rPr>
      </w:pPr>
    </w:p>
    <w:p w14:paraId="68388797" w14:textId="77777777" w:rsidR="00FC526E" w:rsidRPr="00752B50" w:rsidRDefault="00FC526E" w:rsidP="00FC526E">
      <w:pPr>
        <w:rPr>
          <w:sz w:val="24"/>
          <w:szCs w:val="24"/>
        </w:rPr>
      </w:pPr>
      <w:r w:rsidRPr="00752B50">
        <w:rPr>
          <w:sz w:val="24"/>
          <w:szCs w:val="24"/>
        </w:rPr>
        <w:lastRenderedPageBreak/>
        <w:t>Thema 11</w:t>
      </w:r>
      <w:r w:rsidR="00D91BFB">
        <w:rPr>
          <w:sz w:val="24"/>
          <w:szCs w:val="24"/>
        </w:rPr>
        <w:t xml:space="preserve">: </w:t>
      </w:r>
      <w:r w:rsidRPr="00752B50">
        <w:rPr>
          <w:sz w:val="24"/>
          <w:szCs w:val="24"/>
        </w:rPr>
        <w:tab/>
      </w:r>
      <w:r w:rsidRPr="00752B50">
        <w:rPr>
          <w:sz w:val="24"/>
          <w:szCs w:val="24"/>
        </w:rPr>
        <w:tab/>
      </w:r>
      <w:r w:rsidRPr="00752B50">
        <w:rPr>
          <w:sz w:val="24"/>
          <w:szCs w:val="24"/>
        </w:rPr>
        <w:tab/>
      </w:r>
      <w:r w:rsidRPr="00752B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29.01.2027</w:t>
      </w:r>
    </w:p>
    <w:p w14:paraId="5BB6A790" w14:textId="77777777" w:rsidR="00FC526E" w:rsidRPr="00C41B59" w:rsidRDefault="00D91BFB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Tarifpolitik im europäischen Vergleich</w:t>
      </w:r>
    </w:p>
    <w:p w14:paraId="094714E2" w14:textId="77777777" w:rsidR="00FC526E" w:rsidRPr="00274DF6" w:rsidRDefault="00D91BFB" w:rsidP="00FC526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Janssen, T. und Lübker, M.: Europäischer Tarifbericht des WSI 2024/25: Gewerkschaften streiken erfolgreich für reale Tariferhöhungen, WSI – Mitteilungen 04/2025, S. 280 - 296</w:t>
      </w:r>
    </w:p>
    <w:p w14:paraId="06F8E637" w14:textId="77777777" w:rsidR="00FC526E" w:rsidRDefault="00FC526E" w:rsidP="00FC526E">
      <w:pPr>
        <w:rPr>
          <w:sz w:val="24"/>
          <w:szCs w:val="24"/>
        </w:rPr>
      </w:pPr>
    </w:p>
    <w:p w14:paraId="15A483BB" w14:textId="77777777" w:rsidR="00FC526E" w:rsidRPr="00C41B59" w:rsidRDefault="00D91BFB" w:rsidP="00FC526E">
      <w:pPr>
        <w:rPr>
          <w:sz w:val="24"/>
          <w:szCs w:val="24"/>
        </w:rPr>
      </w:pPr>
      <w:r>
        <w:rPr>
          <w:sz w:val="24"/>
          <w:szCs w:val="24"/>
        </w:rPr>
        <w:t>Thema 12:</w:t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FC526E">
        <w:rPr>
          <w:sz w:val="24"/>
          <w:szCs w:val="24"/>
        </w:rPr>
        <w:tab/>
      </w:r>
      <w:r w:rsidR="00627B12">
        <w:rPr>
          <w:sz w:val="24"/>
          <w:szCs w:val="24"/>
        </w:rPr>
        <w:tab/>
      </w:r>
      <w:r w:rsidR="00627B12">
        <w:rPr>
          <w:sz w:val="24"/>
          <w:szCs w:val="24"/>
        </w:rPr>
        <w:tab/>
        <w:t>29.01.2027</w:t>
      </w:r>
    </w:p>
    <w:p w14:paraId="635E55CD" w14:textId="77777777" w:rsidR="00FC526E" w:rsidRPr="00C41B59" w:rsidRDefault="00D91BFB" w:rsidP="00FC5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gemeinsame europäische Migrationspolitik aus ökonomischer Sicht</w:t>
      </w:r>
    </w:p>
    <w:p w14:paraId="350E9482" w14:textId="77777777" w:rsidR="00FC526E" w:rsidRPr="00C41B59" w:rsidRDefault="00D91BFB" w:rsidP="00FC526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Giesing, Y. und Poutvaara, P.: Eine gemeinsame europäische Migrationspolitik: Herausforderungen und Optionen, Wirtschaftsdienst 09/2025, S. 650 - 655</w:t>
      </w:r>
    </w:p>
    <w:p w14:paraId="0B63FC72" w14:textId="77777777" w:rsidR="00FC526E" w:rsidRDefault="00FC526E" w:rsidP="00FC526E">
      <w:pPr>
        <w:rPr>
          <w:b/>
          <w:sz w:val="24"/>
          <w:szCs w:val="24"/>
        </w:rPr>
      </w:pPr>
    </w:p>
    <w:p w14:paraId="15D86441" w14:textId="77777777" w:rsidR="00FC526E" w:rsidRPr="00C41B59" w:rsidRDefault="00FC526E" w:rsidP="00FC526E">
      <w:pPr>
        <w:rPr>
          <w:b/>
          <w:sz w:val="24"/>
          <w:szCs w:val="24"/>
        </w:rPr>
      </w:pPr>
      <w:r w:rsidRPr="00C41B59">
        <w:rPr>
          <w:b/>
          <w:sz w:val="24"/>
          <w:szCs w:val="24"/>
        </w:rPr>
        <w:t>Basisliteratur:</w:t>
      </w:r>
    </w:p>
    <w:p w14:paraId="298AC5FD" w14:textId="77777777" w:rsidR="00FC526E" w:rsidRPr="00C41B59" w:rsidRDefault="00FC526E" w:rsidP="00FC526E">
      <w:pPr>
        <w:rPr>
          <w:b/>
          <w:sz w:val="24"/>
          <w:szCs w:val="24"/>
        </w:rPr>
      </w:pPr>
      <w:r w:rsidRPr="00C41B59">
        <w:rPr>
          <w:b/>
          <w:sz w:val="24"/>
          <w:szCs w:val="24"/>
        </w:rPr>
        <w:t>(Die meisten dieser Werke stehen in einem Handapparat in der Teilbibliothek 05 SO)</w:t>
      </w:r>
    </w:p>
    <w:p w14:paraId="4BDA537A" w14:textId="77777777" w:rsidR="00FC526E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Adam, H. und Mayer, P.: Europäische Integration, 2. Aufl., München 2020</w:t>
      </w:r>
    </w:p>
    <w:p w14:paraId="11C13DA0" w14:textId="77777777" w:rsidR="00FC526E" w:rsidRPr="00817A1F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817A1F">
        <w:rPr>
          <w:sz w:val="24"/>
          <w:szCs w:val="24"/>
          <w:lang w:val="en-GB"/>
        </w:rPr>
        <w:t>Andor, L.: Europe’s Social Integration, London 2022</w:t>
      </w:r>
    </w:p>
    <w:p w14:paraId="3D65CF7C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C41B59">
        <w:rPr>
          <w:sz w:val="24"/>
          <w:szCs w:val="24"/>
          <w:lang w:val="en-US"/>
        </w:rPr>
        <w:t>Baldwin, R. und Wyplosz, C.: The Economics of European Integration, 7. Aufl., Maidenhead 2022</w:t>
      </w:r>
    </w:p>
    <w:p w14:paraId="05D58FE8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Böttger, K. und Jopp, M. (Hrg): Handbuch zur deutschen Europapolitik, 2. Aufl., Baden-Baden 2021</w:t>
      </w:r>
    </w:p>
    <w:p w14:paraId="6CFE722C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Brasche, U.: Europäische Integration: Wirtschaft, Euro-Krise, Erweiterung und Perspektiven, 4. Aufl., Berlin / Boston 2017</w:t>
      </w:r>
    </w:p>
    <w:p w14:paraId="786EF958" w14:textId="77777777" w:rsidR="00FC526E" w:rsidRPr="00BB5FBD" w:rsidRDefault="003C450F" w:rsidP="00FC526E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BB5FBD">
        <w:rPr>
          <w:sz w:val="24"/>
          <w:szCs w:val="24"/>
          <w:lang w:val="en-GB"/>
        </w:rPr>
        <w:t>Countouris, N. et al.</w:t>
      </w:r>
      <w:r w:rsidR="00FC526E" w:rsidRPr="00BB5FBD">
        <w:rPr>
          <w:sz w:val="24"/>
          <w:szCs w:val="24"/>
          <w:lang w:val="en-GB"/>
        </w:rPr>
        <w:t>: Benchmarking Working Europe 2023, ETUI, Brüssel 2023</w:t>
      </w:r>
    </w:p>
    <w:p w14:paraId="54608C72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Dijkstra, L. et al.: Kohäsion in Europa bis 2050, Europ. Kommission, Brüssel 2022</w:t>
      </w:r>
    </w:p>
    <w:p w14:paraId="16F8C569" w14:textId="77777777" w:rsidR="00FC526E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EU-Kommission: Leitfaden Soziales Europa, Teile 1 – 3, Luxemburg 2011/2012</w:t>
      </w:r>
    </w:p>
    <w:p w14:paraId="60BA185F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Felbermayr, G.: Europa muss sich rechnen, Wien 2024</w:t>
      </w:r>
    </w:p>
    <w:p w14:paraId="5E45DC70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 xml:space="preserve">Gärber, A. (Hrg): Europa. Besser. Machen.: Vorschläge für eine progressive Wirtschaftspolitik, Frankfurt/M. 2021 </w:t>
      </w:r>
    </w:p>
    <w:p w14:paraId="39268C0E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Möhle, M.: Europäische Sozialpolitik: Eine Einführung, Wiesbaden 2020</w:t>
      </w:r>
    </w:p>
    <w:p w14:paraId="16D7C6FC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Opielka, M.: Soziales Europa 2030/2045, Institut für Sozialökologie 2019</w:t>
      </w:r>
    </w:p>
    <w:p w14:paraId="6EF9797A" w14:textId="77777777" w:rsidR="00FC526E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Ribhegge, H.: Europäische Wirtschafts- und Sozialpolitik, 2. Aufl., Berlin/Heidelberg 2011</w:t>
      </w:r>
    </w:p>
    <w:p w14:paraId="73B6258B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Sablowski, T. und Wahl, P.: Europäische Integration in der multiplen Krise, Hamburg 2024</w:t>
      </w:r>
    </w:p>
    <w:p w14:paraId="2DCB38D0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Sell, F.L.: Aktuelle Probleme der europäischen Wirtschaftspolitik 3. Aufl., Berlin 2019</w:t>
      </w:r>
    </w:p>
    <w:p w14:paraId="684F4C04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Vahlpahl, T.: Europäische Sozialpolitik, Wiesbaden 2007</w:t>
      </w:r>
    </w:p>
    <w:p w14:paraId="45242818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C41B59">
        <w:rPr>
          <w:sz w:val="24"/>
          <w:szCs w:val="24"/>
          <w:lang w:val="en-US"/>
        </w:rPr>
        <w:lastRenderedPageBreak/>
        <w:t>Vanhercke, B. et al.: Social policy in the European Union: state of play 2022, ETUI, Brüssel 2022</w:t>
      </w:r>
    </w:p>
    <w:p w14:paraId="1722F71D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Wagener, H.-J. und Eger, T.: Europäische Integration, München 2014</w:t>
      </w:r>
    </w:p>
    <w:p w14:paraId="336ED792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Weidenfeld, W. et al. (Hrg): Europa von A bis Z, 16. Aufl., Baden-Baden 2023</w:t>
      </w:r>
    </w:p>
    <w:p w14:paraId="3E50D32E" w14:textId="77777777" w:rsidR="00FC526E" w:rsidRPr="00C41B59" w:rsidRDefault="00FC526E" w:rsidP="00FC526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41B59">
        <w:rPr>
          <w:sz w:val="24"/>
          <w:szCs w:val="24"/>
        </w:rPr>
        <w:t>Wurzel, E.:</w:t>
      </w:r>
      <w:r w:rsidR="00BB5FBD">
        <w:rPr>
          <w:sz w:val="24"/>
          <w:szCs w:val="24"/>
        </w:rPr>
        <w:t xml:space="preserve"> Europäische Integration wohin?</w:t>
      </w:r>
      <w:r w:rsidRPr="00C41B59">
        <w:rPr>
          <w:sz w:val="24"/>
          <w:szCs w:val="24"/>
        </w:rPr>
        <w:t xml:space="preserve"> Stuttgart 2019</w:t>
      </w:r>
    </w:p>
    <w:p w14:paraId="3DC26F11" w14:textId="77777777" w:rsidR="00417DD3" w:rsidRDefault="00417DD3"/>
    <w:sectPr w:rsidR="00417D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E3B"/>
    <w:multiLevelType w:val="hybridMultilevel"/>
    <w:tmpl w:val="A6CA2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2C"/>
    <w:multiLevelType w:val="hybridMultilevel"/>
    <w:tmpl w:val="AA504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2D1B"/>
    <w:multiLevelType w:val="hybridMultilevel"/>
    <w:tmpl w:val="EBFE0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50863"/>
    <w:multiLevelType w:val="hybridMultilevel"/>
    <w:tmpl w:val="995A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52576">
    <w:abstractNumId w:val="0"/>
  </w:num>
  <w:num w:numId="2" w16cid:durableId="605965054">
    <w:abstractNumId w:val="3"/>
  </w:num>
  <w:num w:numId="3" w16cid:durableId="1226913584">
    <w:abstractNumId w:val="1"/>
  </w:num>
  <w:num w:numId="4" w16cid:durableId="70479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6E"/>
    <w:rsid w:val="00036D7B"/>
    <w:rsid w:val="001F5A8B"/>
    <w:rsid w:val="0023520E"/>
    <w:rsid w:val="002609C6"/>
    <w:rsid w:val="003C450F"/>
    <w:rsid w:val="003C4576"/>
    <w:rsid w:val="00417DD3"/>
    <w:rsid w:val="00627B12"/>
    <w:rsid w:val="006E0168"/>
    <w:rsid w:val="007410BC"/>
    <w:rsid w:val="00780403"/>
    <w:rsid w:val="007D426E"/>
    <w:rsid w:val="008D1A62"/>
    <w:rsid w:val="008F5CA4"/>
    <w:rsid w:val="00973510"/>
    <w:rsid w:val="00A85808"/>
    <w:rsid w:val="00AD55AC"/>
    <w:rsid w:val="00B358C6"/>
    <w:rsid w:val="00BB5FBD"/>
    <w:rsid w:val="00BF23FB"/>
    <w:rsid w:val="00C7172B"/>
    <w:rsid w:val="00C9130F"/>
    <w:rsid w:val="00D91BFB"/>
    <w:rsid w:val="00E269FB"/>
    <w:rsid w:val="00E9065A"/>
    <w:rsid w:val="00F36B8B"/>
    <w:rsid w:val="00F47E92"/>
    <w:rsid w:val="00F771A7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291B"/>
  <w15:chartTrackingRefBased/>
  <w15:docId w15:val="{247B718A-3764-43BD-A716-8E2B5719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26E"/>
    <w:pPr>
      <w:spacing w:after="200" w:line="276" w:lineRule="auto"/>
    </w:pPr>
  </w:style>
  <w:style w:type="paragraph" w:styleId="berschrift6">
    <w:name w:val="heading 6"/>
    <w:basedOn w:val="Standard"/>
    <w:next w:val="Standard"/>
    <w:link w:val="berschrift6Zchn"/>
    <w:qFormat/>
    <w:rsid w:val="00FC52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FC526E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C526E"/>
    <w:pPr>
      <w:ind w:left="720"/>
      <w:contextualSpacing/>
    </w:pPr>
  </w:style>
  <w:style w:type="paragraph" w:styleId="Textkrper">
    <w:name w:val="Body Text"/>
    <w:basedOn w:val="Standard"/>
    <w:link w:val="TextkrperZchn"/>
    <w:rsid w:val="00FC526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C526E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FC52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FC526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FC5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nomics.phil.fau.de/files/2016/03/handreichu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1054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Dr. Pohl</dc:creator>
  <cp:keywords/>
  <dc:description/>
  <cp:lastModifiedBy>Pfarherr, Olga</cp:lastModifiedBy>
  <cp:revision>7</cp:revision>
  <dcterms:created xsi:type="dcterms:W3CDTF">2026-07-01T13:17:00Z</dcterms:created>
  <dcterms:modified xsi:type="dcterms:W3CDTF">2026-07-02T07:49:00Z</dcterms:modified>
</cp:coreProperties>
</file>